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EB" w:rsidRDefault="00DB0CEB" w:rsidP="00DB0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K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eepseagle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Settlement Payment</w:t>
      </w:r>
    </w:p>
    <w:p w:rsidR="00DB0CEB" w:rsidRDefault="00DB0CEB" w:rsidP="00DB0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Tax Webinar &amp; Tax Clinic Workshop Schedule</w:t>
      </w:r>
    </w:p>
    <w:p w:rsidR="00DB0CEB" w:rsidRDefault="00DB0CEB" w:rsidP="00DB0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0CEB" w:rsidRDefault="00DB0CEB" w:rsidP="00DB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Free Tax Clinics and a Tax Webinar are being provided to enable </w:t>
      </w:r>
      <w:proofErr w:type="spellStart"/>
      <w:r>
        <w:rPr>
          <w:rFonts w:ascii="Times New Roman" w:hAnsi="Times New Roman" w:cs="Times New Roman"/>
          <w:color w:val="000000"/>
        </w:rPr>
        <w:t>Keepseagle</w:t>
      </w:r>
      <w:proofErr w:type="spellEnd"/>
      <w:r>
        <w:rPr>
          <w:rFonts w:ascii="Times New Roman" w:hAnsi="Times New Roman" w:cs="Times New Roman"/>
          <w:color w:val="000000"/>
        </w:rPr>
        <w:t xml:space="preserve"> successful claimants and settlement recipients to receive general tax filing information and record keeping requirements that will aid in their tax preparation before April 15, 2013.  </w:t>
      </w:r>
      <w:r>
        <w:rPr>
          <w:rFonts w:ascii="Times New Roman" w:hAnsi="Times New Roman" w:cs="Times New Roman"/>
          <w:b/>
          <w:color w:val="000000"/>
          <w:highlight w:val="yellow"/>
          <w:u w:val="single"/>
        </w:rPr>
        <w:t>Please seek the advice of a trained tax professional and encourage their attendance at one of the dates/locations.</w:t>
      </w:r>
      <w:r>
        <w:rPr>
          <w:rFonts w:ascii="Times New Roman" w:hAnsi="Times New Roman" w:cs="Times New Roman"/>
          <w:color w:val="000000"/>
        </w:rPr>
        <w:t xml:space="preserve">  As a </w:t>
      </w:r>
      <w:proofErr w:type="spellStart"/>
      <w:r>
        <w:rPr>
          <w:rFonts w:ascii="Times New Roman" w:hAnsi="Times New Roman" w:cs="Times New Roman"/>
          <w:color w:val="000000"/>
        </w:rPr>
        <w:t>Keepseagle</w:t>
      </w:r>
      <w:proofErr w:type="spellEnd"/>
      <w:r>
        <w:rPr>
          <w:rFonts w:ascii="Times New Roman" w:hAnsi="Times New Roman" w:cs="Times New Roman"/>
          <w:color w:val="000000"/>
        </w:rPr>
        <w:t xml:space="preserve"> settlement recipient you are welcome and encouraged to attend these sessions.  Tax implications result from the settlement payments and understanding your requirements is very important.  </w:t>
      </w:r>
    </w:p>
    <w:p w:rsidR="00DB0CEB" w:rsidRDefault="00DB0CEB" w:rsidP="00DB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B0CEB" w:rsidRDefault="00DB0CEB" w:rsidP="00DB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 audio recording of the Tax Clinic Webinar can be found at:</w:t>
      </w:r>
      <w:r>
        <w:rPr>
          <w:rFonts w:ascii="Times New Roman" w:hAnsi="Times New Roman" w:cs="Times New Roman"/>
          <w:color w:val="000000"/>
        </w:rPr>
        <w:tab/>
      </w:r>
      <w:hyperlink r:id="rId6" w:history="1">
        <w:r w:rsidRPr="00814B44">
          <w:rPr>
            <w:rStyle w:val="Hyperlink"/>
            <w:rFonts w:ascii="Times New Roman" w:hAnsi="Times New Roman" w:cs="Times New Roman"/>
          </w:rPr>
          <w:t>www.indianaglink.com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</w:p>
    <w:p w:rsidR="00DB0CEB" w:rsidRDefault="00DB0CEB" w:rsidP="00DB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full listing of all Tax Clinics can be found at any of the following websites: </w:t>
      </w:r>
    </w:p>
    <w:p w:rsidR="00DB0CEB" w:rsidRDefault="00DB0CEB" w:rsidP="00DB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B0CEB" w:rsidRPr="00EE5CAD" w:rsidRDefault="00DB0CEB" w:rsidP="00DB0C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E5CAD">
        <w:rPr>
          <w:rFonts w:ascii="Times New Roman" w:hAnsi="Times New Roman" w:cs="Times New Roman"/>
          <w:b/>
          <w:color w:val="000000"/>
        </w:rPr>
        <w:t xml:space="preserve">Intertribal Agriculture Council:  </w:t>
      </w:r>
      <w:hyperlink r:id="rId7" w:history="1">
        <w:r w:rsidRPr="00EE5CAD">
          <w:rPr>
            <w:rStyle w:val="Hyperlink"/>
            <w:rFonts w:ascii="Times New Roman" w:hAnsi="Times New Roman" w:cs="Times New Roman"/>
            <w:b/>
          </w:rPr>
          <w:t>www.indianaglink.com</w:t>
        </w:r>
      </w:hyperlink>
    </w:p>
    <w:p w:rsidR="00DB0CEB" w:rsidRPr="00EE5CAD" w:rsidRDefault="00DB0CEB" w:rsidP="00DB0C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E5CAD">
        <w:rPr>
          <w:rFonts w:ascii="Times New Roman" w:hAnsi="Times New Roman" w:cs="Times New Roman"/>
          <w:b/>
          <w:color w:val="000000"/>
        </w:rPr>
        <w:t xml:space="preserve">Extension Risk Management Education Centers:  </w:t>
      </w:r>
      <w:r w:rsidRPr="00EE5CAD">
        <w:rPr>
          <w:rFonts w:ascii="Times New Roman" w:hAnsi="Times New Roman" w:cs="Times New Roman"/>
          <w:b/>
        </w:rPr>
        <w:t xml:space="preserve"> </w:t>
      </w:r>
    </w:p>
    <w:p w:rsidR="00DB0CEB" w:rsidRPr="00EE5CAD" w:rsidRDefault="00DB0CEB" w:rsidP="00DB0CE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E5CAD">
        <w:rPr>
          <w:rFonts w:ascii="Times New Roman" w:hAnsi="Times New Roman" w:cs="Times New Roman"/>
          <w:color w:val="000000"/>
        </w:rPr>
        <w:t xml:space="preserve">Southern Region: </w:t>
      </w:r>
      <w:r w:rsidRPr="00EE5CAD">
        <w:rPr>
          <w:rFonts w:ascii="Times New Roman" w:hAnsi="Times New Roman" w:cs="Times New Roman"/>
          <w:color w:val="000000"/>
        </w:rPr>
        <w:tab/>
      </w:r>
      <w:hyperlink r:id="rId8" w:history="1">
        <w:r w:rsidRPr="00EE5CAD">
          <w:rPr>
            <w:rStyle w:val="Hyperlink"/>
            <w:rFonts w:ascii="Times New Roman" w:hAnsi="Times New Roman" w:cs="Times New Roman"/>
            <w:b/>
          </w:rPr>
          <w:t>www.srmec.uark.edu</w:t>
        </w:r>
      </w:hyperlink>
      <w:r w:rsidRPr="00EE5CAD">
        <w:rPr>
          <w:rFonts w:ascii="Times New Roman" w:hAnsi="Times New Roman" w:cs="Times New Roman"/>
          <w:b/>
          <w:color w:val="000000"/>
        </w:rPr>
        <w:t xml:space="preserve"> </w:t>
      </w:r>
      <w:hyperlink w:history="1"/>
      <w:r w:rsidRPr="00EE5CAD">
        <w:rPr>
          <w:rFonts w:ascii="Times New Roman" w:hAnsi="Times New Roman" w:cs="Times New Roman"/>
          <w:color w:val="000000"/>
        </w:rPr>
        <w:t xml:space="preserve"> </w:t>
      </w:r>
    </w:p>
    <w:p w:rsidR="00DB0CEB" w:rsidRPr="00EE5CAD" w:rsidRDefault="00DB0CEB" w:rsidP="00DB0CE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E5CAD">
        <w:rPr>
          <w:rFonts w:ascii="Times New Roman" w:hAnsi="Times New Roman" w:cs="Times New Roman"/>
          <w:color w:val="000000"/>
        </w:rPr>
        <w:t xml:space="preserve">Western Region:  </w:t>
      </w:r>
      <w:r w:rsidRPr="00EE5CAD">
        <w:rPr>
          <w:rFonts w:ascii="Times New Roman" w:hAnsi="Times New Roman" w:cs="Times New Roman"/>
          <w:color w:val="000000"/>
        </w:rPr>
        <w:tab/>
      </w:r>
      <w:hyperlink r:id="rId9" w:history="1">
        <w:r w:rsidRPr="00EE5CAD">
          <w:rPr>
            <w:rStyle w:val="Hyperlink"/>
            <w:rFonts w:ascii="Times New Roman" w:hAnsi="Times New Roman" w:cs="Times New Roman"/>
            <w:b/>
          </w:rPr>
          <w:t>www.westrme.wsu.edu</w:t>
        </w:r>
      </w:hyperlink>
      <w:r w:rsidRPr="00EE5CAD">
        <w:rPr>
          <w:rFonts w:ascii="Times New Roman" w:hAnsi="Times New Roman" w:cs="Times New Roman"/>
          <w:color w:val="000000"/>
        </w:rPr>
        <w:t xml:space="preserve"> </w:t>
      </w:r>
    </w:p>
    <w:p w:rsidR="00DB0CEB" w:rsidRPr="00EE5CAD" w:rsidRDefault="00DB0CEB" w:rsidP="00DB0CE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E5CAD">
        <w:rPr>
          <w:rFonts w:ascii="Times New Roman" w:hAnsi="Times New Roman" w:cs="Times New Roman"/>
          <w:color w:val="000000"/>
        </w:rPr>
        <w:t xml:space="preserve">North Central Region: </w:t>
      </w:r>
      <w:hyperlink r:id="rId10" w:history="1">
        <w:r w:rsidRPr="00EE5CAD">
          <w:rPr>
            <w:rStyle w:val="Hyperlink"/>
            <w:rFonts w:ascii="Times New Roman" w:hAnsi="Times New Roman" w:cs="Times New Roman"/>
            <w:b/>
          </w:rPr>
          <w:t>www.ncrme.org</w:t>
        </w:r>
      </w:hyperlink>
      <w:r w:rsidRPr="00EE5CAD">
        <w:rPr>
          <w:rFonts w:ascii="Times New Roman" w:hAnsi="Times New Roman" w:cs="Times New Roman"/>
          <w:color w:val="000000"/>
        </w:rPr>
        <w:t xml:space="preserve"> </w:t>
      </w:r>
    </w:p>
    <w:p w:rsidR="00DB0CEB" w:rsidRPr="00EE5CAD" w:rsidRDefault="00DB0CEB" w:rsidP="00DB0C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E5CAD">
        <w:rPr>
          <w:rFonts w:ascii="Times New Roman" w:hAnsi="Times New Roman" w:cs="Times New Roman"/>
          <w:b/>
          <w:color w:val="000000"/>
        </w:rPr>
        <w:t xml:space="preserve">Rural Tax </w:t>
      </w:r>
      <w:r w:rsidRPr="00EE5CAD">
        <w:rPr>
          <w:rFonts w:ascii="Times New Roman" w:hAnsi="Times New Roman" w:cs="Times New Roman"/>
          <w:b/>
        </w:rPr>
        <w:t>Education</w:t>
      </w:r>
      <w:r w:rsidRPr="00EE5CAD">
        <w:rPr>
          <w:rFonts w:ascii="Times New Roman" w:hAnsi="Times New Roman" w:cs="Times New Roman"/>
          <w:b/>
          <w:color w:val="000000"/>
        </w:rPr>
        <w:t xml:space="preserve">:  </w:t>
      </w:r>
      <w:hyperlink r:id="rId11" w:history="1">
        <w:r w:rsidRPr="00EE5CAD">
          <w:rPr>
            <w:rStyle w:val="Hyperlink"/>
            <w:rFonts w:ascii="Times New Roman" w:hAnsi="Times New Roman" w:cs="Times New Roman"/>
            <w:b/>
          </w:rPr>
          <w:t>www.ruraltax.org</w:t>
        </w:r>
      </w:hyperlink>
    </w:p>
    <w:p w:rsidR="00DB0CEB" w:rsidRPr="00EE5CAD" w:rsidRDefault="00DB0CEB" w:rsidP="00DB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DB0CEB" w:rsidRDefault="00DB0CEB" w:rsidP="00DB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B0CEB" w:rsidRDefault="00DB0CEB" w:rsidP="00DB0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B0CEB">
        <w:rPr>
          <w:rFonts w:ascii="Times New Roman" w:hAnsi="Times New Roman" w:cs="Times New Roman"/>
          <w:b/>
          <w:i/>
          <w:color w:val="000000"/>
          <w:u w:val="single"/>
        </w:rPr>
        <w:t>YOUR LOCAL TAX CLINIC</w:t>
      </w:r>
      <w:r>
        <w:rPr>
          <w:rFonts w:ascii="Times New Roman" w:hAnsi="Times New Roman" w:cs="Times New Roman"/>
          <w:color w:val="000000"/>
        </w:rPr>
        <w:t>:</w:t>
      </w:r>
    </w:p>
    <w:p w:rsidR="00DB0CEB" w:rsidRDefault="00DB0CEB" w:rsidP="00DB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B0CEB" w:rsidRDefault="00DB0CEB" w:rsidP="00DB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Date: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__________________________________________________________</w:t>
      </w:r>
    </w:p>
    <w:p w:rsidR="00DB0CEB" w:rsidRDefault="00DB0CEB" w:rsidP="00DB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B0CEB" w:rsidRDefault="00DB0CEB" w:rsidP="00DB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Time: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__________________________________________________________</w:t>
      </w:r>
    </w:p>
    <w:p w:rsidR="00DB0CEB" w:rsidRDefault="00DB0CEB" w:rsidP="00DB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B0CEB" w:rsidRDefault="00DB0CEB" w:rsidP="00DB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Location:</w:t>
      </w:r>
      <w:r>
        <w:rPr>
          <w:rFonts w:ascii="Times New Roman" w:hAnsi="Times New Roman" w:cs="Times New Roman"/>
          <w:color w:val="000000"/>
        </w:rPr>
        <w:tab/>
        <w:t>__________________________________________________________</w:t>
      </w:r>
    </w:p>
    <w:p w:rsidR="00DB0CEB" w:rsidRDefault="00DB0CEB" w:rsidP="00DB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B0CEB" w:rsidRDefault="00DB0CEB" w:rsidP="00DB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B0CEB" w:rsidRDefault="00DB0CEB" w:rsidP="00DB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B0CEB" w:rsidRPr="00DB0CEB" w:rsidRDefault="00DB0CEB" w:rsidP="00DB0CEB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</w:p>
    <w:p w:rsidR="00DB0CEB" w:rsidRPr="00DB0CEB" w:rsidRDefault="00DB0CEB" w:rsidP="00DB0CEB">
      <w:pPr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DB0CEB">
        <w:rPr>
          <w:noProof/>
          <w:sz w:val="20"/>
          <w:szCs w:val="20"/>
        </w:rPr>
        <w:drawing>
          <wp:inline distT="0" distB="0" distL="0" distR="0" wp14:anchorId="7A7032EF" wp14:editId="3D5F0392">
            <wp:extent cx="2604887" cy="899031"/>
            <wp:effectExtent l="0" t="0" r="5080" b="0"/>
            <wp:docPr id="1" name="Picture 1" descr="http://www.iactechhelp.com/wp-content/themes/iac/images/logo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actechhelp.com/wp-content/themes/iac/images/logo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530" cy="90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0CEB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DB0CEB">
        <w:rPr>
          <w:noProof/>
          <w:sz w:val="20"/>
          <w:szCs w:val="20"/>
        </w:rPr>
        <w:drawing>
          <wp:inline distT="0" distB="0" distL="0" distR="0" wp14:anchorId="0118BE8D" wp14:editId="2D52D7C7">
            <wp:extent cx="2206118" cy="653142"/>
            <wp:effectExtent l="0" t="0" r="3810" b="0"/>
            <wp:docPr id="2" name="Picture 1" descr="Extension Risk Management Educati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nsion Risk Management Education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57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0C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B0CEB" w:rsidRPr="00DB0CEB" w:rsidRDefault="00DB0CEB" w:rsidP="00DB0CEB">
      <w:pPr>
        <w:ind w:left="360"/>
        <w:rPr>
          <w:rFonts w:ascii="Calibri" w:hAnsi="Calibri"/>
          <w:sz w:val="20"/>
          <w:szCs w:val="20"/>
        </w:rPr>
      </w:pPr>
    </w:p>
    <w:p w:rsidR="00DB0CEB" w:rsidRPr="00DB0CEB" w:rsidRDefault="00DB0CEB" w:rsidP="00DB0CEB">
      <w:pPr>
        <w:spacing w:after="0" w:line="240" w:lineRule="auto"/>
        <w:ind w:left="360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DB0C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B0CEB">
        <w:rPr>
          <w:noProof/>
          <w:sz w:val="20"/>
          <w:szCs w:val="20"/>
        </w:rPr>
        <w:drawing>
          <wp:anchor distT="0" distB="0" distL="0" distR="0" simplePos="0" relativeHeight="251660288" behindDoc="0" locked="0" layoutInCell="1" allowOverlap="0" wp14:anchorId="5E2CBBBE" wp14:editId="752B542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85750"/>
            <wp:effectExtent l="19050" t="0" r="0" b="0"/>
            <wp:wrapSquare wrapText="bothSides"/>
            <wp:docPr id="3" name="Picture 3" descr="University of Arkansas, Division of Agricult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of Arkansas, Division of Agriculture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B0CEB">
        <w:rPr>
          <w:noProof/>
          <w:sz w:val="20"/>
          <w:szCs w:val="20"/>
        </w:rPr>
        <w:t xml:space="preserve"> </w:t>
      </w:r>
      <w:r w:rsidRPr="00DB0CEB">
        <w:rPr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0" wp14:anchorId="1A495D4D" wp14:editId="0B8D1EB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447675"/>
            <wp:effectExtent l="19050" t="0" r="0" b="0"/>
            <wp:wrapSquare wrapText="bothSides"/>
            <wp:docPr id="4" name="Picture 4" descr="Washington State University Ext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shington State University Extension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B0CEB">
        <w:rPr>
          <w:noProof/>
          <w:sz w:val="20"/>
          <w:szCs w:val="20"/>
        </w:rPr>
        <w:t xml:space="preserve"> </w:t>
      </w:r>
      <w:r w:rsidRPr="00DB0CEB"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 wp14:anchorId="3FE0918C" wp14:editId="253C88B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457200"/>
            <wp:effectExtent l="19050" t="0" r="0" b="0"/>
            <wp:wrapSquare wrapText="bothSides"/>
            <wp:docPr id="5" name="Picture 2" descr="University of Nebraska, Linco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 of Nebraska, Lincoln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B0CEB" w:rsidRPr="00DB0CEB" w:rsidRDefault="00DB0CEB" w:rsidP="00DB0CEB">
      <w:pPr>
        <w:ind w:left="720"/>
        <w:contextualSpacing/>
        <w:rPr>
          <w:sz w:val="20"/>
          <w:szCs w:val="20"/>
        </w:rPr>
      </w:pPr>
    </w:p>
    <w:p w:rsidR="00DB0CEB" w:rsidRDefault="00DB0CEB" w:rsidP="00DB0CEB">
      <w:pPr>
        <w:ind w:left="720"/>
        <w:contextualSpacing/>
        <w:rPr>
          <w:rFonts w:ascii="Times New Roman" w:hAnsi="Times New Roman" w:cs="Times New Roman"/>
          <w:color w:val="000000"/>
        </w:rPr>
      </w:pPr>
      <w:r w:rsidRPr="00DB0CEB">
        <w:rPr>
          <w:noProof/>
          <w:sz w:val="20"/>
          <w:szCs w:val="20"/>
        </w:rPr>
        <w:drawing>
          <wp:inline distT="0" distB="0" distL="0" distR="0" wp14:anchorId="538B91DE" wp14:editId="2C67C904">
            <wp:extent cx="1851852" cy="568618"/>
            <wp:effectExtent l="0" t="0" r="0" b="3175"/>
            <wp:docPr id="6" name="Picture 7" descr="LawHori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wHoriz[1]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668" cy="571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CEB">
        <w:rPr>
          <w:sz w:val="20"/>
          <w:szCs w:val="20"/>
        </w:rPr>
        <w:t xml:space="preserve">            </w:t>
      </w:r>
      <w:r w:rsidRPr="00DB0CEB">
        <w:rPr>
          <w:noProof/>
          <w:sz w:val="20"/>
          <w:szCs w:val="20"/>
        </w:rPr>
        <w:drawing>
          <wp:inline distT="0" distB="0" distL="0" distR="0" wp14:anchorId="2497705A" wp14:editId="60BDF4A0">
            <wp:extent cx="1429230" cy="483241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820" cy="486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0CEB">
        <w:rPr>
          <w:rFonts w:ascii="Times New Roman" w:hAnsi="Times New Roman" w:cs="Times New Roman"/>
          <w:b/>
          <w:noProof/>
          <w:color w:val="000000"/>
          <w:sz w:val="20"/>
          <w:szCs w:val="20"/>
          <w:u w:val="single"/>
        </w:rPr>
        <w:t xml:space="preserve"> </w:t>
      </w:r>
      <w:r w:rsidRPr="00DB0CEB">
        <w:rPr>
          <w:noProof/>
          <w:sz w:val="20"/>
          <w:szCs w:val="20"/>
        </w:rPr>
        <w:drawing>
          <wp:inline distT="0" distB="0" distL="0" distR="0" wp14:anchorId="725E8659" wp14:editId="2F54F793">
            <wp:extent cx="1667435" cy="537882"/>
            <wp:effectExtent l="0" t="0" r="9525" b="0"/>
            <wp:docPr id="8" name="Picture 8" descr="C:\Documents and Settings\jgnelson.AD\My Documents\My Pictures\4-26-2010\Northwest_Logo_we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Documents and Settings\jgnelson.AD\My Documents\My Pictures\4-26-2010\Northwest_Logo_web.png"/>
                    <pic:cNvPicPr/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163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009D5"/>
    <w:multiLevelType w:val="hybridMultilevel"/>
    <w:tmpl w:val="C6AC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173E4"/>
    <w:multiLevelType w:val="hybridMultilevel"/>
    <w:tmpl w:val="76FC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EB"/>
    <w:rsid w:val="0025642B"/>
    <w:rsid w:val="0063796D"/>
    <w:rsid w:val="00BA18EC"/>
    <w:rsid w:val="00DB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C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0C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0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C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0C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0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mec.uark.edu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hyperlink" Target="http://www.indianaglink.com" TargetMode="External"/><Relationship Id="rId12" Type="http://schemas.openxmlformats.org/officeDocument/2006/relationships/hyperlink" Target="http://www.iactechhelp.com/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://www.indianaglink.com" TargetMode="External"/><Relationship Id="rId11" Type="http://schemas.openxmlformats.org/officeDocument/2006/relationships/hyperlink" Target="http://www.ruraltax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://www.ncrme.org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://www.westrme.wsu.edu" TargetMode="External"/><Relationship Id="rId14" Type="http://schemas.openxmlformats.org/officeDocument/2006/relationships/hyperlink" Target="http://extensionrme.org/default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2013-02-11T22:17:00Z</dcterms:created>
  <dcterms:modified xsi:type="dcterms:W3CDTF">2013-02-11T22:17:00Z</dcterms:modified>
</cp:coreProperties>
</file>